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75pt" o:ole="">
            <v:imagedata r:id="rId7" o:title=""/>
          </v:shape>
          <o:OLEObject Type="Embed" ProgID="MSPhotoEd.3" ShapeID="_x0000_i1026" DrawAspect="Content" ObjectID="_1616311354"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115261" w:rsidRDefault="005A464C" w:rsidP="00115261">
      <w:pPr>
        <w:spacing w:before="120"/>
        <w:jc w:val="center"/>
        <w:rPr>
          <w:rFonts w:asciiTheme="minorHAnsi" w:hAnsiTheme="minorHAnsi"/>
          <w:b/>
          <w:i/>
          <w:smallCaps/>
          <w:sz w:val="36"/>
          <w:szCs w:val="36"/>
        </w:rPr>
      </w:pPr>
      <w:r>
        <w:rPr>
          <w:rFonts w:asciiTheme="minorHAnsi" w:hAnsiTheme="minorHAnsi"/>
          <w:b/>
          <w:i/>
          <w:smallCaps/>
          <w:sz w:val="36"/>
          <w:szCs w:val="36"/>
        </w:rPr>
        <w:t>PAVIMENTAÇÃO DA ESTRADA DE BARROS – VILAR DE MOUROS</w:t>
      </w:r>
    </w:p>
    <w:p w:rsidR="00AC7711" w:rsidRDefault="00AC7711" w:rsidP="00AC7711">
      <w:pPr>
        <w:tabs>
          <w:tab w:val="left" w:pos="8647"/>
        </w:tabs>
        <w:spacing w:line="276" w:lineRule="auto"/>
        <w:ind w:left="-284" w:right="-285"/>
        <w:jc w:val="center"/>
        <w:rPr>
          <w:rFonts w:asciiTheme="minorHAnsi" w:hAnsiTheme="minorHAnsi" w:cs="Arial"/>
          <w:b/>
          <w:i/>
          <w:smallCaps/>
          <w:sz w:val="30"/>
          <w:szCs w:val="30"/>
        </w:rPr>
      </w:pP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45111" w:rsidRDefault="00F45111" w:rsidP="005C0116">
      <w:pPr>
        <w:spacing w:line="276" w:lineRule="auto"/>
        <w:jc w:val="both"/>
        <w:rPr>
          <w:rFonts w:asciiTheme="minorHAnsi" w:hAnsiTheme="minorHAnsi" w:cs="Arial"/>
          <w:b/>
          <w:sz w:val="22"/>
          <w:szCs w:val="22"/>
          <w:u w:val="single"/>
        </w:rPr>
      </w:pPr>
    </w:p>
    <w:p w:rsidR="00115261" w:rsidRDefault="00115261" w:rsidP="00554955">
      <w:pPr>
        <w:spacing w:before="120"/>
        <w:jc w:val="center"/>
        <w:rPr>
          <w:rFonts w:asciiTheme="minorHAnsi" w:hAnsiTheme="minorHAnsi"/>
          <w:b/>
          <w:i/>
        </w:rPr>
      </w:pPr>
      <w:bookmarkStart w:id="0" w:name="_Toc211757067"/>
    </w:p>
    <w:p w:rsidR="005C0116" w:rsidRPr="005C0116" w:rsidRDefault="005C0116" w:rsidP="00554955">
      <w:pPr>
        <w:spacing w:before="120"/>
        <w:jc w:val="center"/>
        <w:rPr>
          <w:rFonts w:asciiTheme="minorHAnsi" w:hAnsiTheme="minorHAnsi"/>
          <w:b/>
          <w:i/>
        </w:rPr>
      </w:pPr>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5A464C">
        <w:rPr>
          <w:rFonts w:asciiTheme="minorHAnsi" w:hAnsiTheme="minorHAnsi"/>
          <w:i/>
          <w:sz w:val="22"/>
          <w:szCs w:val="22"/>
        </w:rPr>
        <w:t>Pavimentação da estrada de Barros -</w:t>
      </w:r>
      <w:r w:rsidR="00115261">
        <w:rPr>
          <w:rFonts w:asciiTheme="minorHAnsi" w:hAnsiTheme="minorHAnsi"/>
          <w:i/>
          <w:sz w:val="22"/>
          <w:szCs w:val="22"/>
        </w:rPr>
        <w:t xml:space="preserve"> Vilar de Mouros</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F4475C">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w:t>
      </w:r>
      <w:proofErr w:type="spellStart"/>
      <w:r w:rsidRPr="0022167B">
        <w:rPr>
          <w:rFonts w:asciiTheme="minorHAnsi" w:hAnsiTheme="minorHAnsi"/>
          <w:sz w:val="22"/>
          <w:szCs w:val="22"/>
        </w:rPr>
        <w:t>e</w:t>
      </w:r>
      <w:proofErr w:type="spellEnd"/>
      <w:r w:rsidRPr="0022167B">
        <w:rPr>
          <w:rFonts w:asciiTheme="minorHAnsi" w:hAnsiTheme="minorHAnsi"/>
          <w:sz w:val="22"/>
          <w:szCs w:val="22"/>
        </w:rPr>
        <w:t xml:space="preserv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115261" w:rsidRPr="003812A7" w:rsidRDefault="005C0116" w:rsidP="003812A7">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w:t>
      </w:r>
      <w:proofErr w:type="spellStart"/>
      <w:r w:rsidRPr="0022167B">
        <w:rPr>
          <w:rFonts w:asciiTheme="minorHAnsi" w:hAnsiTheme="minorHAnsi"/>
          <w:sz w:val="22"/>
          <w:szCs w:val="22"/>
        </w:rPr>
        <w:t>dwf</w:t>
      </w:r>
      <w:proofErr w:type="spellEnd"/>
      <w:r w:rsidRPr="0022167B">
        <w:rPr>
          <w:rFonts w:asciiTheme="minorHAnsi" w:hAnsiTheme="minorHAnsi"/>
          <w:sz w:val="22"/>
          <w:szCs w:val="22"/>
        </w:rPr>
        <w:t xml:space="preserve"> e/ou *.</w:t>
      </w:r>
      <w:proofErr w:type="spellStart"/>
      <w:r w:rsidRPr="0022167B">
        <w:rPr>
          <w:rFonts w:asciiTheme="minorHAnsi" w:hAnsiTheme="minorHAnsi"/>
          <w:sz w:val="22"/>
          <w:szCs w:val="22"/>
        </w:rPr>
        <w:t>shp</w:t>
      </w:r>
      <w:proofErr w:type="spellEnd"/>
      <w:r w:rsidRPr="0022167B">
        <w:rPr>
          <w:rFonts w:asciiTheme="minorHAnsi" w:hAnsiTheme="minorHAnsi"/>
          <w:sz w:val="22"/>
          <w:szCs w:val="22"/>
        </w:rPr>
        <w:t>) editável.</w:t>
      </w:r>
      <w:bookmarkStart w:id="5" w:name="_Toc211757073"/>
    </w:p>
    <w:p w:rsidR="005C0116" w:rsidRDefault="005C0116" w:rsidP="00554955">
      <w:pPr>
        <w:spacing w:before="120"/>
        <w:jc w:val="center"/>
        <w:outlineLvl w:val="0"/>
        <w:rPr>
          <w:rFonts w:asciiTheme="minorHAnsi" w:hAnsiTheme="minorHAnsi"/>
          <w:b/>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08653D" w:rsidRDefault="0008653D" w:rsidP="00554955">
      <w:pPr>
        <w:spacing w:before="120"/>
        <w:jc w:val="center"/>
        <w:outlineLvl w:val="0"/>
        <w:rPr>
          <w:rFonts w:asciiTheme="minorHAnsi" w:hAnsiTheme="minorHAnsi"/>
          <w:b/>
          <w:sz w:val="22"/>
          <w:szCs w:val="22"/>
        </w:rPr>
      </w:pPr>
      <w:bookmarkStart w:id="6" w:name="_Toc211757074"/>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54955" w:rsidRDefault="00554955" w:rsidP="00554955">
      <w:pPr>
        <w:spacing w:before="120"/>
        <w:jc w:val="both"/>
        <w:rPr>
          <w:rFonts w:asciiTheme="minorHAnsi" w:hAnsiTheme="minorHAnsi"/>
          <w:sz w:val="22"/>
          <w:szCs w:val="22"/>
        </w:rPr>
      </w:pPr>
    </w:p>
    <w:p w:rsidR="0008653D" w:rsidRDefault="0008653D"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lastRenderedPageBreak/>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Concluir a execução da obra e solicitar a realização de vistoria da obra para efeitos da sua receção provisória no prazo de </w:t>
      </w:r>
      <w:r w:rsidR="005A464C">
        <w:rPr>
          <w:rFonts w:asciiTheme="minorHAnsi" w:hAnsiTheme="minorHAnsi"/>
          <w:sz w:val="22"/>
          <w:szCs w:val="22"/>
        </w:rPr>
        <w:t>3</w:t>
      </w:r>
      <w:r w:rsidR="0008653D">
        <w:rPr>
          <w:rFonts w:asciiTheme="minorHAnsi" w:hAnsiTheme="minorHAnsi"/>
          <w:sz w:val="22"/>
          <w:szCs w:val="22"/>
        </w:rPr>
        <w:t>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se verificarem atrasos injustificados na execução de trabalhos em relação ao plano de trabalhos em vigor, imputáveis ao empreiteiro, este é obrigado, a expensas suas, a tomar </w:t>
      </w:r>
      <w:r w:rsidRPr="0022167B">
        <w:rPr>
          <w:rFonts w:asciiTheme="minorHAnsi" w:hAnsiTheme="minorHAnsi"/>
          <w:sz w:val="22"/>
          <w:szCs w:val="22"/>
        </w:rPr>
        <w:lastRenderedPageBreak/>
        <w:t>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3812A7">
        <w:rPr>
          <w:rFonts w:asciiTheme="minorHAnsi" w:hAnsiTheme="minorHAnsi"/>
          <w:sz w:val="22"/>
          <w:szCs w:val="22"/>
        </w:rPr>
        <w:t>raso, em valor correspondente a</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3812A7" w:rsidRDefault="003812A7" w:rsidP="00554955">
      <w:pPr>
        <w:spacing w:before="120"/>
        <w:jc w:val="both"/>
        <w:rPr>
          <w:rFonts w:asciiTheme="minorHAnsi" w:hAnsiTheme="minorHAnsi"/>
          <w:sz w:val="22"/>
          <w:szCs w:val="22"/>
        </w:rPr>
      </w:pPr>
    </w:p>
    <w:p w:rsidR="003812A7" w:rsidRPr="0022167B"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lastRenderedPageBreak/>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lastRenderedPageBreak/>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manter a boa ordem no local dos trabalhos, devendo retirar do local dos trabalhos, por sua iniciativa ou imediatamente após ordem do dono da obra, o pessoal que haja tido comportamento perturbador dos trabalhos, designadamente por menor probidade no </w:t>
      </w:r>
      <w:r w:rsidRPr="0022167B">
        <w:rPr>
          <w:rFonts w:asciiTheme="minorHAnsi" w:hAnsiTheme="minorHAnsi"/>
          <w:sz w:val="22"/>
          <w:szCs w:val="22"/>
        </w:rPr>
        <w:lastRenderedPageBreak/>
        <w:t>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Pr="0022167B" w:rsidRDefault="00115261"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lastRenderedPageBreak/>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w:t>
      </w:r>
      <w:r w:rsidRPr="0022167B">
        <w:rPr>
          <w:rFonts w:asciiTheme="minorHAnsi" w:hAnsiTheme="minorHAnsi"/>
          <w:sz w:val="22"/>
          <w:szCs w:val="22"/>
        </w:rPr>
        <w:lastRenderedPageBreak/>
        <w:t xml:space="preserve">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w:t>
      </w:r>
      <w:r w:rsidRPr="0022167B">
        <w:rPr>
          <w:rFonts w:asciiTheme="minorHAnsi" w:hAnsiTheme="minorHAnsi"/>
          <w:sz w:val="22"/>
          <w:szCs w:val="22"/>
        </w:rPr>
        <w:lastRenderedPageBreak/>
        <w:t xml:space="preserve">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272C8C" w:rsidRDefault="00272C8C" w:rsidP="003812A7">
      <w:pPr>
        <w:spacing w:before="120"/>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Pr="00625048">
        <w:rPr>
          <w:rFonts w:asciiTheme="minorHAnsi" w:hAnsiTheme="minorHAnsi" w:cs="Arial"/>
          <w:b/>
          <w:sz w:val="22"/>
          <w:szCs w:val="22"/>
        </w:rPr>
        <w:t xml:space="preserve">€ </w:t>
      </w:r>
      <w:r w:rsidR="005A464C">
        <w:rPr>
          <w:rFonts w:asciiTheme="minorHAnsi" w:hAnsiTheme="minorHAnsi" w:cs="Arial"/>
          <w:b/>
          <w:sz w:val="22"/>
          <w:szCs w:val="22"/>
        </w:rPr>
        <w:t>18</w:t>
      </w:r>
      <w:r w:rsidR="00625048" w:rsidRPr="00625048">
        <w:rPr>
          <w:rFonts w:asciiTheme="minorHAnsi" w:hAnsiTheme="minorHAnsi" w:cs="Arial"/>
          <w:b/>
          <w:sz w:val="22"/>
          <w:szCs w:val="22"/>
        </w:rPr>
        <w:t>.</w:t>
      </w:r>
      <w:r w:rsidR="00115261">
        <w:rPr>
          <w:rFonts w:asciiTheme="minorHAnsi" w:hAnsiTheme="minorHAnsi" w:cs="Arial"/>
          <w:b/>
          <w:sz w:val="22"/>
          <w:szCs w:val="22"/>
        </w:rPr>
        <w:t>9</w:t>
      </w:r>
      <w:r w:rsidR="005A464C">
        <w:rPr>
          <w:rFonts w:asciiTheme="minorHAnsi" w:hAnsiTheme="minorHAnsi" w:cs="Arial"/>
          <w:b/>
          <w:sz w:val="22"/>
          <w:szCs w:val="22"/>
        </w:rPr>
        <w:t>40</w:t>
      </w:r>
      <w:r w:rsidRPr="00625048">
        <w:rPr>
          <w:rFonts w:asciiTheme="minorHAnsi" w:hAnsiTheme="minorHAnsi"/>
          <w:b/>
          <w:sz w:val="22"/>
          <w:szCs w:val="22"/>
        </w:rPr>
        <w:t>,</w:t>
      </w:r>
      <w:r w:rsidR="005A464C">
        <w:rPr>
          <w:rFonts w:asciiTheme="minorHAnsi" w:hAnsiTheme="minorHAnsi"/>
          <w:b/>
          <w:sz w:val="22"/>
          <w:szCs w:val="22"/>
        </w:rPr>
        <w:t>57</w:t>
      </w:r>
      <w:r w:rsidR="003048B6" w:rsidRPr="003048B6">
        <w:rPr>
          <w:rFonts w:asciiTheme="minorHAnsi" w:hAnsiTheme="minorHAnsi"/>
          <w:sz w:val="22"/>
          <w:szCs w:val="22"/>
        </w:rPr>
        <w:t xml:space="preserve"> (</w:t>
      </w:r>
      <w:r w:rsidR="005A464C">
        <w:rPr>
          <w:rFonts w:asciiTheme="minorHAnsi" w:hAnsiTheme="minorHAnsi"/>
          <w:sz w:val="22"/>
          <w:szCs w:val="22"/>
        </w:rPr>
        <w:t>dezoito</w:t>
      </w:r>
      <w:r w:rsidR="003048B6">
        <w:rPr>
          <w:rFonts w:asciiTheme="minorHAnsi" w:hAnsiTheme="minorHAnsi"/>
          <w:sz w:val="22"/>
          <w:szCs w:val="22"/>
        </w:rPr>
        <w:t xml:space="preserve"> mil, </w:t>
      </w:r>
      <w:r w:rsidR="00115261">
        <w:rPr>
          <w:rFonts w:asciiTheme="minorHAnsi" w:hAnsiTheme="minorHAnsi"/>
          <w:sz w:val="22"/>
          <w:szCs w:val="22"/>
        </w:rPr>
        <w:t>novecentos</w:t>
      </w:r>
      <w:r w:rsidR="003048B6">
        <w:rPr>
          <w:rFonts w:asciiTheme="minorHAnsi" w:hAnsiTheme="minorHAnsi"/>
          <w:sz w:val="22"/>
          <w:szCs w:val="22"/>
        </w:rPr>
        <w:t xml:space="preserve"> e </w:t>
      </w:r>
      <w:r w:rsidR="005A464C">
        <w:rPr>
          <w:rFonts w:asciiTheme="minorHAnsi" w:hAnsiTheme="minorHAnsi"/>
          <w:sz w:val="22"/>
          <w:szCs w:val="22"/>
        </w:rPr>
        <w:t>quarenta</w:t>
      </w:r>
      <w:r w:rsidR="003048B6">
        <w:rPr>
          <w:rFonts w:asciiTheme="minorHAnsi" w:hAnsiTheme="minorHAnsi"/>
          <w:sz w:val="22"/>
          <w:szCs w:val="22"/>
        </w:rPr>
        <w:t xml:space="preserve"> euros</w:t>
      </w:r>
      <w:r w:rsidR="005A464C">
        <w:rPr>
          <w:rFonts w:asciiTheme="minorHAnsi" w:hAnsiTheme="minorHAnsi"/>
          <w:sz w:val="22"/>
          <w:szCs w:val="22"/>
        </w:rPr>
        <w:t xml:space="preserve"> e cinquenta e sete cêntimos</w:t>
      </w:r>
      <w:r w:rsidR="003048B6">
        <w:rPr>
          <w:rFonts w:asciiTheme="minorHAnsi" w:hAnsiTheme="minorHAnsi"/>
          <w:sz w:val="22"/>
          <w:szCs w:val="22"/>
        </w:rPr>
        <w:t>)</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5C0116" w:rsidP="00554955">
      <w:pPr>
        <w:spacing w:before="120"/>
        <w:jc w:val="both"/>
        <w:rPr>
          <w:rFonts w:asciiTheme="minorHAnsi" w:hAnsiTheme="minorHAnsi"/>
          <w:sz w:val="22"/>
          <w:szCs w:val="22"/>
        </w:rPr>
      </w:pPr>
      <w:r>
        <w:rPr>
          <w:rFonts w:asciiTheme="minorHAnsi" w:hAnsiTheme="minorHAnsi"/>
          <w:sz w:val="22"/>
          <w:szCs w:val="22"/>
        </w:rPr>
        <w:t>Não há lugar</w:t>
      </w:r>
      <w:r w:rsidR="00625048">
        <w:rPr>
          <w:rFonts w:asciiTheme="minorHAnsi" w:hAnsiTheme="minorHAnsi"/>
          <w:sz w:val="22"/>
          <w:szCs w:val="22"/>
        </w:rPr>
        <w:t xml:space="preserve"> a </w:t>
      </w:r>
      <w:r>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1"/>
      <w:r w:rsidRPr="005C0116">
        <w:rPr>
          <w:rFonts w:asciiTheme="minorHAnsi" w:hAnsiTheme="minorHAnsi"/>
          <w:b/>
          <w:sz w:val="22"/>
          <w:szCs w:val="22"/>
        </w:rPr>
        <w:t>Cláusula 4</w:t>
      </w:r>
      <w:r w:rsidR="003D354E">
        <w:rPr>
          <w:rFonts w:asciiTheme="minorHAnsi" w:hAnsiTheme="minorHAnsi"/>
          <w:b/>
          <w:sz w:val="22"/>
          <w:szCs w:val="22"/>
        </w:rPr>
        <w:t>3</w:t>
      </w:r>
      <w:r w:rsidRPr="005C0116">
        <w:rPr>
          <w:rFonts w:asciiTheme="minorHAnsi" w:hAnsiTheme="minorHAnsi"/>
          <w:b/>
          <w:sz w:val="22"/>
          <w:szCs w:val="22"/>
        </w:rPr>
        <w:t>.ª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Default="005C0116"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Pr="0022167B" w:rsidRDefault="00115261"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2"/>
      <w:r w:rsidRPr="005C0116">
        <w:rPr>
          <w:rFonts w:asciiTheme="minorHAnsi" w:hAnsiTheme="minorHAnsi"/>
          <w:b/>
          <w:sz w:val="22"/>
          <w:szCs w:val="22"/>
        </w:rPr>
        <w:t>Cláusula 4</w:t>
      </w:r>
      <w:r w:rsidR="003D354E">
        <w:rPr>
          <w:rFonts w:asciiTheme="minorHAnsi" w:hAnsiTheme="minorHAnsi"/>
          <w:b/>
          <w:sz w:val="22"/>
          <w:szCs w:val="22"/>
        </w:rPr>
        <w:t>4</w:t>
      </w:r>
      <w:r w:rsidRPr="005C0116">
        <w:rPr>
          <w:rFonts w:asciiTheme="minorHAnsi" w:hAnsiTheme="minorHAnsi"/>
          <w:b/>
          <w:sz w:val="22"/>
          <w:szCs w:val="22"/>
        </w:rPr>
        <w:t>.ª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16311355" r:id="rId10"/>
        </w:objec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F4253F">
        <w:rPr>
          <w:rFonts w:asciiTheme="minorHAnsi" w:hAnsiTheme="minorHAnsi"/>
          <w:sz w:val="22"/>
          <w:szCs w:val="22"/>
        </w:rPr>
        <w:lastRenderedPageBreak/>
        <w:t>F</w:t>
      </w:r>
      <w:r w:rsidR="005A464C">
        <w:rPr>
          <w:rFonts w:asciiTheme="minorHAnsi" w:hAnsiTheme="minorHAnsi"/>
          <w:sz w:val="22"/>
          <w:szCs w:val="22"/>
        </w:rPr>
        <w:t>10</w:t>
      </w:r>
      <w:r w:rsidRPr="00F4253F">
        <w:rPr>
          <w:rFonts w:asciiTheme="minorHAnsi" w:hAnsiTheme="minorHAnsi"/>
          <w:sz w:val="22"/>
          <w:szCs w:val="22"/>
        </w:rPr>
        <w:t xml:space="preserve"> – </w:t>
      </w:r>
      <w:r w:rsidR="005A464C">
        <w:rPr>
          <w:rFonts w:asciiTheme="minorHAnsi" w:hAnsiTheme="minorHAnsi"/>
          <w:sz w:val="22"/>
          <w:szCs w:val="22"/>
        </w:rPr>
        <w:t>estradas</w:t>
      </w:r>
      <w:r w:rsidRPr="00F4253F">
        <w:rPr>
          <w:rFonts w:asciiTheme="minorHAnsi" w:hAnsiTheme="minorHAnsi"/>
          <w:sz w:val="22"/>
          <w:szCs w:val="22"/>
        </w:rPr>
        <w:t xml:space="preserve">, de acordo </w:t>
      </w:r>
      <w:r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1" w:name="_Toc211757123"/>
      <w:r w:rsidRPr="005C0116">
        <w:rPr>
          <w:rFonts w:asciiTheme="minorHAnsi" w:hAnsiTheme="minorHAnsi"/>
          <w:b/>
          <w:i/>
          <w:sz w:val="22"/>
          <w:szCs w:val="22"/>
        </w:rPr>
        <w:t>Secção V</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2" w:name="_Toc211757124"/>
      <w:r w:rsidRPr="005C0116">
        <w:rPr>
          <w:rFonts w:asciiTheme="minorHAnsi" w:hAnsiTheme="minorHAnsi"/>
          <w:b/>
          <w:sz w:val="22"/>
          <w:szCs w:val="22"/>
        </w:rPr>
        <w:t>Cláusula 4</w:t>
      </w:r>
      <w:r w:rsidR="003D354E">
        <w:rPr>
          <w:rFonts w:asciiTheme="minorHAnsi" w:hAnsiTheme="minorHAnsi"/>
          <w:b/>
          <w:sz w:val="22"/>
          <w:szCs w:val="22"/>
        </w:rPr>
        <w:t>5</w:t>
      </w:r>
      <w:r w:rsidRPr="005C0116">
        <w:rPr>
          <w:rFonts w:asciiTheme="minorHAnsi" w:hAnsiTheme="minorHAnsi"/>
          <w:b/>
          <w:sz w:val="22"/>
          <w:szCs w:val="22"/>
        </w:rPr>
        <w:t>.ª</w:t>
      </w:r>
      <w:bookmarkEnd w:id="72"/>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3" w:name="_Toc211757125"/>
      <w:r w:rsidRPr="005C0116">
        <w:rPr>
          <w:rFonts w:asciiTheme="minorHAnsi" w:hAnsiTheme="minorHAnsi"/>
          <w:b/>
          <w:sz w:val="22"/>
          <w:szCs w:val="22"/>
        </w:rPr>
        <w:t>Cláusula 4</w:t>
      </w:r>
      <w:r w:rsidR="003D354E">
        <w:rPr>
          <w:rFonts w:asciiTheme="minorHAnsi" w:hAnsiTheme="minorHAnsi"/>
          <w:b/>
          <w:sz w:val="22"/>
          <w:szCs w:val="22"/>
        </w:rPr>
        <w:t>6</w:t>
      </w:r>
      <w:r w:rsidRPr="005C0116">
        <w:rPr>
          <w:rFonts w:asciiTheme="minorHAnsi" w:hAnsiTheme="minorHAnsi"/>
          <w:b/>
          <w:sz w:val="22"/>
          <w:szCs w:val="22"/>
        </w:rPr>
        <w:t>.ª</w:t>
      </w:r>
      <w:bookmarkEnd w:id="73"/>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4" w:name="_Toc211757126"/>
      <w:r w:rsidRPr="005C0116">
        <w:rPr>
          <w:rFonts w:asciiTheme="minorHAnsi" w:hAnsiTheme="minorHAnsi"/>
          <w:b/>
          <w:i/>
        </w:rPr>
        <w:t>CAPÍTULO IV - Representação das partes e controlo da execução do contrato</w:t>
      </w:r>
      <w:bookmarkEnd w:id="74"/>
    </w:p>
    <w:p w:rsidR="005C0116" w:rsidRPr="005C0116" w:rsidRDefault="005C0116" w:rsidP="00554955">
      <w:pPr>
        <w:spacing w:before="120"/>
        <w:jc w:val="center"/>
        <w:outlineLvl w:val="0"/>
        <w:rPr>
          <w:rFonts w:asciiTheme="minorHAnsi" w:hAnsiTheme="minorHAnsi"/>
          <w:b/>
          <w:sz w:val="22"/>
          <w:szCs w:val="22"/>
        </w:rPr>
      </w:pPr>
      <w:bookmarkStart w:id="75" w:name="_Toc211757127"/>
      <w:r w:rsidRPr="005C0116">
        <w:rPr>
          <w:rFonts w:asciiTheme="minorHAnsi" w:hAnsiTheme="minorHAnsi"/>
          <w:b/>
          <w:sz w:val="22"/>
          <w:szCs w:val="22"/>
        </w:rPr>
        <w:t>Cláusula 4</w:t>
      </w:r>
      <w:r w:rsidR="003D354E">
        <w:rPr>
          <w:rFonts w:asciiTheme="minorHAnsi" w:hAnsiTheme="minorHAnsi"/>
          <w:b/>
          <w:sz w:val="22"/>
          <w:szCs w:val="22"/>
        </w:rPr>
        <w:t>7</w:t>
      </w:r>
      <w:r w:rsidRPr="005C0116">
        <w:rPr>
          <w:rFonts w:asciiTheme="minorHAnsi" w:hAnsiTheme="minorHAnsi"/>
          <w:b/>
          <w:sz w:val="22"/>
          <w:szCs w:val="22"/>
        </w:rPr>
        <w:t>.ª</w:t>
      </w:r>
      <w:bookmarkEnd w:id="7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6" w:name="_Toc211757128"/>
      <w:r w:rsidRPr="005C0116">
        <w:rPr>
          <w:rFonts w:asciiTheme="minorHAnsi" w:hAnsiTheme="minorHAnsi"/>
          <w:b/>
          <w:sz w:val="22"/>
          <w:szCs w:val="22"/>
        </w:rPr>
        <w:t>Cláusula 4</w:t>
      </w:r>
      <w:r w:rsidR="003D354E">
        <w:rPr>
          <w:rFonts w:asciiTheme="minorHAnsi" w:hAnsiTheme="minorHAnsi"/>
          <w:b/>
          <w:sz w:val="22"/>
          <w:szCs w:val="22"/>
        </w:rPr>
        <w:t>8</w:t>
      </w:r>
      <w:r w:rsidRPr="005C0116">
        <w:rPr>
          <w:rFonts w:asciiTheme="minorHAnsi" w:hAnsiTheme="minorHAnsi"/>
          <w:b/>
          <w:sz w:val="22"/>
          <w:szCs w:val="22"/>
        </w:rPr>
        <w:t>.ª</w:t>
      </w:r>
      <w:bookmarkEnd w:id="7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7" w:name="_Toc211757129"/>
      <w:r w:rsidRPr="005C0116">
        <w:rPr>
          <w:rFonts w:asciiTheme="minorHAnsi" w:hAnsiTheme="minorHAnsi"/>
          <w:b/>
          <w:sz w:val="22"/>
          <w:szCs w:val="22"/>
        </w:rPr>
        <w:t xml:space="preserve">Cláusula </w:t>
      </w:r>
      <w:r w:rsidR="003D354E">
        <w:rPr>
          <w:rFonts w:asciiTheme="minorHAnsi" w:hAnsiTheme="minorHAnsi"/>
          <w:b/>
          <w:sz w:val="22"/>
          <w:szCs w:val="22"/>
        </w:rPr>
        <w:t>49</w:t>
      </w:r>
      <w:r w:rsidRPr="005C0116">
        <w:rPr>
          <w:rFonts w:asciiTheme="minorHAnsi" w:hAnsiTheme="minorHAnsi"/>
          <w:b/>
          <w:sz w:val="22"/>
          <w:szCs w:val="22"/>
        </w:rPr>
        <w:t>.ª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8" w:name="_Toc211757130"/>
      <w:r w:rsidRPr="005C0116">
        <w:rPr>
          <w:rFonts w:asciiTheme="minorHAnsi" w:hAnsiTheme="minorHAnsi"/>
          <w:b/>
          <w:i/>
        </w:rPr>
        <w:lastRenderedPageBreak/>
        <w:t xml:space="preserve">CAPÍTULO V – </w:t>
      </w:r>
      <w:r w:rsidRPr="005C0116">
        <w:rPr>
          <w:rFonts w:asciiTheme="minorHAnsi" w:hAnsiTheme="minorHAnsi"/>
          <w:b/>
        </w:rPr>
        <w:t>Receção e liquidação da obra</w:t>
      </w:r>
      <w:bookmarkEnd w:id="78"/>
    </w:p>
    <w:p w:rsidR="005C0116" w:rsidRPr="005C0116" w:rsidRDefault="005C0116" w:rsidP="00554955">
      <w:pPr>
        <w:spacing w:before="120"/>
        <w:jc w:val="center"/>
        <w:outlineLvl w:val="0"/>
        <w:rPr>
          <w:rFonts w:asciiTheme="minorHAnsi" w:hAnsiTheme="minorHAnsi"/>
          <w:b/>
          <w:sz w:val="22"/>
          <w:szCs w:val="22"/>
        </w:rPr>
      </w:pPr>
      <w:bookmarkStart w:id="79" w:name="_Toc211757131"/>
      <w:r>
        <w:rPr>
          <w:rFonts w:asciiTheme="minorHAnsi" w:hAnsiTheme="minorHAnsi"/>
          <w:b/>
          <w:sz w:val="22"/>
          <w:szCs w:val="22"/>
        </w:rPr>
        <w:t>Cláusula 5</w:t>
      </w:r>
      <w:r w:rsidR="003D354E">
        <w:rPr>
          <w:rFonts w:asciiTheme="minorHAnsi" w:hAnsiTheme="minorHAnsi"/>
          <w:b/>
          <w:sz w:val="22"/>
          <w:szCs w:val="22"/>
        </w:rPr>
        <w:t>0</w:t>
      </w:r>
      <w:r w:rsidRPr="005C0116">
        <w:rPr>
          <w:rFonts w:asciiTheme="minorHAnsi" w:hAnsiTheme="minorHAnsi"/>
          <w:b/>
          <w:sz w:val="22"/>
          <w:szCs w:val="22"/>
        </w:rPr>
        <w:t>.ª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0" w:name="_Toc211757132"/>
      <w:r w:rsidRPr="005C0116">
        <w:rPr>
          <w:rFonts w:asciiTheme="minorHAnsi" w:hAnsiTheme="minorHAnsi"/>
          <w:b/>
          <w:sz w:val="22"/>
          <w:szCs w:val="22"/>
        </w:rPr>
        <w:t>Cláusula 5</w:t>
      </w:r>
      <w:r w:rsidR="003D354E">
        <w:rPr>
          <w:rFonts w:asciiTheme="minorHAnsi" w:hAnsiTheme="minorHAnsi"/>
          <w:b/>
          <w:sz w:val="22"/>
          <w:szCs w:val="22"/>
        </w:rPr>
        <w:t>1</w:t>
      </w:r>
      <w:r w:rsidRPr="005C0116">
        <w:rPr>
          <w:rFonts w:asciiTheme="minorHAnsi" w:hAnsiTheme="minorHAnsi"/>
          <w:b/>
          <w:sz w:val="22"/>
          <w:szCs w:val="22"/>
        </w:rPr>
        <w:t>.ª</w:t>
      </w:r>
      <w:bookmarkEnd w:id="8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1" w:name="_Toc211757133"/>
      <w:r w:rsidRPr="005C0116">
        <w:rPr>
          <w:rFonts w:asciiTheme="minorHAnsi" w:hAnsiTheme="minorHAnsi"/>
          <w:b/>
          <w:sz w:val="22"/>
          <w:szCs w:val="22"/>
        </w:rPr>
        <w:t>Cláusula 5</w:t>
      </w:r>
      <w:r w:rsidR="003D354E">
        <w:rPr>
          <w:rFonts w:asciiTheme="minorHAnsi" w:hAnsiTheme="minorHAnsi"/>
          <w:b/>
          <w:sz w:val="22"/>
          <w:szCs w:val="22"/>
        </w:rPr>
        <w:t>2</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de a vistoria referida no n.º 1 permitir detetar deficiências, deteriorações, indícios de ruína ou falta de solidez, da responsabilidade do empreiteiro, ou a não verificação dos </w:t>
      </w:r>
      <w:r w:rsidRPr="0022167B">
        <w:rPr>
          <w:rFonts w:asciiTheme="minorHAnsi" w:hAnsiTheme="minorHAnsi"/>
          <w:sz w:val="22"/>
          <w:szCs w:val="22"/>
        </w:rPr>
        <w:lastRenderedPageBreak/>
        <w:t>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4"/>
      <w:r w:rsidRPr="005C0116">
        <w:rPr>
          <w:rFonts w:asciiTheme="minorHAnsi" w:hAnsiTheme="minorHAnsi"/>
          <w:b/>
          <w:sz w:val="22"/>
          <w:szCs w:val="22"/>
        </w:rPr>
        <w:t>Cláusula 5</w:t>
      </w:r>
      <w:r w:rsidR="003D354E">
        <w:rPr>
          <w:rFonts w:asciiTheme="minorHAnsi" w:hAnsiTheme="minorHAnsi"/>
          <w:b/>
          <w:sz w:val="22"/>
          <w:szCs w:val="22"/>
        </w:rPr>
        <w:t>3</w:t>
      </w:r>
      <w:r w:rsidRPr="005C0116">
        <w:rPr>
          <w:rFonts w:asciiTheme="minorHAnsi" w:hAnsiTheme="minorHAnsi"/>
          <w:b/>
          <w:sz w:val="22"/>
          <w:szCs w:val="22"/>
        </w:rPr>
        <w:t>.ª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08653D" w:rsidRDefault="0008653D" w:rsidP="00115261">
      <w:pPr>
        <w:spacing w:before="120"/>
        <w:outlineLvl w:val="0"/>
        <w:rPr>
          <w:rFonts w:asciiTheme="minorHAnsi" w:hAnsiTheme="minorHAnsi"/>
          <w:b/>
          <w:i/>
        </w:rPr>
      </w:pPr>
      <w:bookmarkStart w:id="83" w:name="_Toc211757135"/>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CAPÍTULO VI - Disposições finais</w:t>
      </w:r>
      <w:bookmarkEnd w:id="83"/>
    </w:p>
    <w:p w:rsidR="005C0116" w:rsidRPr="005C0116" w:rsidRDefault="005C0116" w:rsidP="00554955">
      <w:pPr>
        <w:spacing w:before="120"/>
        <w:jc w:val="center"/>
        <w:outlineLvl w:val="0"/>
        <w:rPr>
          <w:rFonts w:asciiTheme="minorHAnsi" w:hAnsiTheme="minorHAnsi"/>
          <w:b/>
          <w:sz w:val="22"/>
          <w:szCs w:val="22"/>
        </w:rPr>
      </w:pPr>
      <w:bookmarkStart w:id="84" w:name="_Toc211757136"/>
      <w:r w:rsidRPr="005C0116">
        <w:rPr>
          <w:rFonts w:asciiTheme="minorHAnsi" w:hAnsiTheme="minorHAnsi"/>
          <w:b/>
          <w:sz w:val="22"/>
          <w:szCs w:val="22"/>
        </w:rPr>
        <w:t>Cláusula 5</w:t>
      </w:r>
      <w:r w:rsidR="003D354E">
        <w:rPr>
          <w:rFonts w:asciiTheme="minorHAnsi" w:hAnsiTheme="minorHAnsi"/>
          <w:b/>
          <w:sz w:val="22"/>
          <w:szCs w:val="22"/>
        </w:rPr>
        <w:t>4</w:t>
      </w:r>
      <w:r w:rsidRPr="005C0116">
        <w:rPr>
          <w:rFonts w:asciiTheme="minorHAnsi" w:hAnsiTheme="minorHAnsi"/>
          <w:b/>
          <w:sz w:val="22"/>
          <w:szCs w:val="22"/>
        </w:rPr>
        <w:t>.ª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5" w:name="_Toc211757137"/>
      <w:r w:rsidRPr="005C0116">
        <w:rPr>
          <w:rFonts w:asciiTheme="minorHAnsi" w:hAnsiTheme="minorHAnsi"/>
          <w:b/>
          <w:sz w:val="22"/>
          <w:szCs w:val="22"/>
        </w:rPr>
        <w:t>Cláusula 5</w:t>
      </w:r>
      <w:r w:rsidR="003D354E">
        <w:rPr>
          <w:rFonts w:asciiTheme="minorHAnsi" w:hAnsiTheme="minorHAnsi"/>
          <w:b/>
          <w:sz w:val="22"/>
          <w:szCs w:val="22"/>
        </w:rPr>
        <w:t>5</w:t>
      </w:r>
      <w:r w:rsidRPr="005C0116">
        <w:rPr>
          <w:rFonts w:asciiTheme="minorHAnsi" w:hAnsiTheme="minorHAnsi"/>
          <w:b/>
          <w:sz w:val="22"/>
          <w:szCs w:val="22"/>
        </w:rPr>
        <w:t>.ª</w:t>
      </w:r>
      <w:bookmarkEnd w:id="8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apenas pode opor-se à subcontratação na fase de execução quando não estejam verificados os limites constantes do artigo 383.º do CCP, ou quando haja fundado receio de que a subcontratação envolva um aumento de risco de incumprimento das obrigações </w:t>
      </w:r>
      <w:r w:rsidRPr="0022167B">
        <w:rPr>
          <w:rFonts w:asciiTheme="minorHAnsi" w:hAnsiTheme="minorHAnsi"/>
          <w:sz w:val="22"/>
          <w:szCs w:val="22"/>
        </w:rPr>
        <w:lastRenderedPageBreak/>
        <w:t>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sz w:val="22"/>
          <w:szCs w:val="22"/>
        </w:rPr>
      </w:pPr>
      <w:bookmarkStart w:id="86" w:name="_Toc211757138"/>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5</w:t>
      </w:r>
      <w:r w:rsidR="003D354E">
        <w:rPr>
          <w:rFonts w:asciiTheme="minorHAnsi" w:hAnsiTheme="minorHAnsi"/>
          <w:b/>
          <w:sz w:val="22"/>
          <w:szCs w:val="22"/>
        </w:rPr>
        <w:t>6</w:t>
      </w:r>
      <w:r w:rsidRPr="005C0116">
        <w:rPr>
          <w:rFonts w:asciiTheme="minorHAnsi" w:hAnsiTheme="minorHAnsi"/>
          <w:b/>
          <w:sz w:val="22"/>
          <w:szCs w:val="22"/>
        </w:rPr>
        <w:t>.ª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Default="005C0116" w:rsidP="00554955">
      <w:pPr>
        <w:spacing w:before="120"/>
        <w:jc w:val="both"/>
        <w:rPr>
          <w:rFonts w:asciiTheme="minorHAnsi" w:hAnsiTheme="minorHAnsi"/>
          <w:sz w:val="22"/>
          <w:szCs w:val="22"/>
        </w:rPr>
      </w:pPr>
    </w:p>
    <w:p w:rsidR="0008653D" w:rsidRPr="0022167B" w:rsidRDefault="000865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9"/>
      <w:r w:rsidRPr="005C0116">
        <w:rPr>
          <w:rFonts w:asciiTheme="minorHAnsi" w:hAnsiTheme="minorHAnsi"/>
          <w:b/>
          <w:sz w:val="22"/>
          <w:szCs w:val="22"/>
        </w:rPr>
        <w:t>Cláusula 5</w:t>
      </w:r>
      <w:r w:rsidR="003D354E">
        <w:rPr>
          <w:rFonts w:asciiTheme="minorHAnsi" w:hAnsiTheme="minorHAnsi"/>
          <w:b/>
          <w:sz w:val="22"/>
          <w:szCs w:val="22"/>
        </w:rPr>
        <w:t>7</w:t>
      </w:r>
      <w:r w:rsidRPr="005C0116">
        <w:rPr>
          <w:rFonts w:asciiTheme="minorHAnsi" w:hAnsiTheme="minorHAnsi"/>
          <w:b/>
          <w:sz w:val="22"/>
          <w:szCs w:val="22"/>
        </w:rPr>
        <w:t>.ª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proofErr w:type="spellStart"/>
      <w:r w:rsidRPr="0022167B">
        <w:rPr>
          <w:rFonts w:asciiTheme="minorHAnsi" w:hAnsiTheme="minorHAnsi"/>
          <w:sz w:val="22"/>
          <w:szCs w:val="22"/>
        </w:rPr>
        <w:t>ii</w:t>
      </w:r>
      <w:proofErr w:type="spellEnd"/>
      <w:r w:rsidRPr="0022167B">
        <w:rPr>
          <w:rFonts w:asciiTheme="minorHAnsi" w:hAnsiTheme="minorHAnsi"/>
          <w:sz w:val="22"/>
          <w:szCs w:val="22"/>
        </w:rPr>
        <w:t>)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88" w:name="_Toc211757140"/>
      <w:r w:rsidRPr="00823E8C">
        <w:rPr>
          <w:rFonts w:asciiTheme="minorHAnsi" w:hAnsiTheme="minorHAnsi"/>
          <w:b/>
          <w:color w:val="000000" w:themeColor="text1"/>
          <w:sz w:val="22"/>
          <w:szCs w:val="22"/>
        </w:rPr>
        <w:t>Cláusula 5</w:t>
      </w:r>
      <w:r w:rsidR="003D354E">
        <w:rPr>
          <w:rFonts w:asciiTheme="minorHAnsi" w:hAnsiTheme="minorHAnsi"/>
          <w:b/>
          <w:color w:val="000000" w:themeColor="text1"/>
          <w:sz w:val="22"/>
          <w:szCs w:val="22"/>
        </w:rPr>
        <w:t>8</w:t>
      </w:r>
      <w:r w:rsidRPr="00823E8C">
        <w:rPr>
          <w:rFonts w:asciiTheme="minorHAnsi" w:hAnsiTheme="minorHAnsi"/>
          <w:b/>
          <w:color w:val="000000" w:themeColor="text1"/>
          <w:sz w:val="22"/>
          <w:szCs w:val="22"/>
        </w:rPr>
        <w:t>.ª</w:t>
      </w:r>
      <w:bookmarkEnd w:id="88"/>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89" w:name="_Toc211757141"/>
      <w:r w:rsidRPr="00823E8C">
        <w:rPr>
          <w:rFonts w:asciiTheme="minorHAnsi" w:hAnsiTheme="minorHAnsi"/>
          <w:b/>
          <w:color w:val="000000" w:themeColor="text1"/>
          <w:sz w:val="22"/>
          <w:szCs w:val="22"/>
        </w:rPr>
        <w:t xml:space="preserve">Cláusula </w:t>
      </w:r>
      <w:r w:rsidR="003D354E">
        <w:rPr>
          <w:rFonts w:asciiTheme="minorHAnsi" w:hAnsiTheme="minorHAnsi"/>
          <w:b/>
          <w:color w:val="000000" w:themeColor="text1"/>
          <w:sz w:val="22"/>
          <w:szCs w:val="22"/>
        </w:rPr>
        <w:t>59</w:t>
      </w:r>
      <w:r w:rsidRPr="00823E8C">
        <w:rPr>
          <w:rFonts w:asciiTheme="minorHAnsi" w:hAnsiTheme="minorHAnsi"/>
          <w:b/>
          <w:color w:val="000000" w:themeColor="text1"/>
          <w:sz w:val="22"/>
          <w:szCs w:val="22"/>
        </w:rPr>
        <w:t>.ª</w:t>
      </w:r>
      <w:bookmarkEnd w:id="89"/>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lastRenderedPageBreak/>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2"/>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0</w:t>
      </w:r>
      <w:r w:rsidRPr="00823E8C">
        <w:rPr>
          <w:rFonts w:asciiTheme="minorHAnsi" w:hAnsiTheme="minorHAnsi"/>
          <w:b/>
          <w:color w:val="000000" w:themeColor="text1"/>
          <w:sz w:val="22"/>
          <w:szCs w:val="22"/>
        </w:rPr>
        <w:t>.ª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3"/>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1</w:t>
      </w:r>
      <w:r w:rsidRPr="00823E8C">
        <w:rPr>
          <w:rFonts w:asciiTheme="minorHAnsi" w:hAnsiTheme="minorHAnsi"/>
          <w:b/>
          <w:color w:val="000000" w:themeColor="text1"/>
          <w:sz w:val="22"/>
          <w:szCs w:val="22"/>
        </w:rPr>
        <w:t>.ª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2</w:t>
      </w:r>
      <w:r w:rsidRPr="00823E8C">
        <w:rPr>
          <w:rFonts w:asciiTheme="minorHAnsi" w:hAnsiTheme="minorHAnsi"/>
          <w:b/>
          <w:color w:val="000000" w:themeColor="text1"/>
          <w:sz w:val="22"/>
          <w:szCs w:val="22"/>
        </w:rPr>
        <w:t>.ª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3</w:t>
      </w:r>
      <w:r w:rsidRPr="00823E8C">
        <w:rPr>
          <w:rFonts w:asciiTheme="minorHAnsi" w:hAnsiTheme="minorHAnsi"/>
          <w:b/>
          <w:color w:val="000000" w:themeColor="text1"/>
          <w:sz w:val="22"/>
          <w:szCs w:val="22"/>
        </w:rPr>
        <w:t>.ª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w:t>
      </w:r>
      <w:proofErr w:type="spellStart"/>
      <w:r w:rsidRPr="00823E8C">
        <w:rPr>
          <w:rFonts w:asciiTheme="minorHAnsi" w:hAnsiTheme="minorHAnsi" w:cs="Arial"/>
          <w:bCs/>
          <w:color w:val="000000" w:themeColor="text1"/>
          <w:sz w:val="22"/>
          <w:szCs w:val="22"/>
        </w:rPr>
        <w:t>Autocad</w:t>
      </w:r>
      <w:proofErr w:type="spellEnd"/>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1 - Para a execução desta empreitada não são aplicáveis as alíneas a), b), c), d) e </w:t>
      </w:r>
      <w:proofErr w:type="spellStart"/>
      <w:r w:rsidRPr="00823E8C">
        <w:rPr>
          <w:rFonts w:asciiTheme="minorHAnsi" w:hAnsiTheme="minorHAnsi" w:cs="Arial"/>
          <w:b/>
          <w:color w:val="000000" w:themeColor="text1"/>
          <w:sz w:val="22"/>
          <w:szCs w:val="22"/>
        </w:rPr>
        <w:t>e</w:t>
      </w:r>
      <w:proofErr w:type="spellEnd"/>
      <w:r w:rsidRPr="00823E8C">
        <w:rPr>
          <w:rFonts w:asciiTheme="minorHAnsi" w:hAnsiTheme="minorHAnsi" w:cs="Arial"/>
          <w:b/>
          <w:color w:val="000000" w:themeColor="text1"/>
          <w:sz w:val="22"/>
          <w:szCs w:val="22"/>
        </w:rPr>
        <w:t>),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bookmarkStart w:id="92" w:name="_GoBack"/>
      <w:bookmarkEnd w:id="92"/>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lastRenderedPageBreak/>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 xml:space="preserve">etes </w:t>
      </w:r>
      <w:r w:rsidR="00722B62" w:rsidRPr="00823E8C">
        <w:rPr>
          <w:rFonts w:asciiTheme="minorHAnsi" w:hAnsiTheme="minorHAnsi" w:cs="Arial"/>
          <w:bCs/>
          <w:color w:val="000000" w:themeColor="text1"/>
          <w:sz w:val="22"/>
          <w:szCs w:val="22"/>
        </w:rPr>
        <w:lastRenderedPageBreak/>
        <w:t xml:space="preserve">dotados de elementos </w:t>
      </w:r>
      <w:proofErr w:type="spellStart"/>
      <w:r w:rsidR="00722B62" w:rsidRPr="00823E8C">
        <w:rPr>
          <w:rFonts w:asciiTheme="minorHAnsi" w:hAnsiTheme="minorHAnsi" w:cs="Arial"/>
          <w:bCs/>
          <w:color w:val="000000" w:themeColor="text1"/>
          <w:sz w:val="22"/>
          <w:szCs w:val="22"/>
        </w:rPr>
        <w:t>refle</w:t>
      </w:r>
      <w:r w:rsidRPr="00823E8C">
        <w:rPr>
          <w:rFonts w:asciiTheme="minorHAnsi" w:hAnsiTheme="minorHAnsi" w:cs="Arial"/>
          <w:bCs/>
          <w:color w:val="000000" w:themeColor="text1"/>
          <w:sz w:val="22"/>
          <w:szCs w:val="22"/>
        </w:rPr>
        <w:t>torizados</w:t>
      </w:r>
      <w:proofErr w:type="spellEnd"/>
      <w:r w:rsidRPr="00823E8C">
        <w:rPr>
          <w:rFonts w:asciiTheme="minorHAnsi" w:hAnsiTheme="minorHAnsi" w:cs="Arial"/>
          <w:bCs/>
          <w:color w:val="000000" w:themeColor="text1"/>
          <w:sz w:val="22"/>
          <w:szCs w:val="22"/>
        </w:rPr>
        <w:t>,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3D354E">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sidR="003812A7">
          <w:rPr>
            <w:rFonts w:asciiTheme="minorHAnsi" w:hAnsiTheme="minorHAnsi"/>
            <w:b/>
            <w:i/>
            <w:noProof/>
            <w:sz w:val="18"/>
            <w:szCs w:val="18"/>
          </w:rPr>
          <w:t>27</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53D" w:rsidRDefault="00115261" w:rsidP="0008653D">
    <w:pPr>
      <w:spacing w:before="120"/>
      <w:jc w:val="center"/>
      <w:outlineLvl w:val="0"/>
      <w:rPr>
        <w:rFonts w:asciiTheme="minorHAnsi" w:hAnsiTheme="minorHAnsi"/>
        <w:b/>
        <w:i/>
        <w:smallCaps/>
        <w:sz w:val="18"/>
        <w:szCs w:val="18"/>
      </w:rPr>
    </w:pPr>
    <w:r>
      <w:rPr>
        <w:rFonts w:asciiTheme="minorHAnsi" w:hAnsiTheme="minorHAnsi"/>
        <w:b/>
        <w:i/>
        <w:smallCaps/>
        <w:sz w:val="18"/>
        <w:szCs w:val="18"/>
      </w:rPr>
      <w:t>Pa</w:t>
    </w:r>
    <w:r w:rsidR="005A464C">
      <w:rPr>
        <w:rFonts w:asciiTheme="minorHAnsi" w:hAnsiTheme="minorHAnsi"/>
        <w:b/>
        <w:i/>
        <w:smallCaps/>
        <w:sz w:val="18"/>
        <w:szCs w:val="18"/>
      </w:rPr>
      <w:t>vimentação da Estrada</w:t>
    </w:r>
    <w:r>
      <w:rPr>
        <w:rFonts w:asciiTheme="minorHAnsi" w:hAnsiTheme="minorHAnsi"/>
        <w:b/>
        <w:i/>
        <w:smallCaps/>
        <w:sz w:val="18"/>
        <w:szCs w:val="18"/>
      </w:rPr>
      <w:t xml:space="preserve"> de</w:t>
    </w:r>
    <w:r w:rsidR="005A464C">
      <w:rPr>
        <w:rFonts w:asciiTheme="minorHAnsi" w:hAnsiTheme="minorHAnsi"/>
        <w:b/>
        <w:i/>
        <w:smallCaps/>
        <w:sz w:val="18"/>
        <w:szCs w:val="18"/>
      </w:rPr>
      <w:t xml:space="preserve"> barros - </w:t>
    </w:r>
    <w:r>
      <w:rPr>
        <w:rFonts w:asciiTheme="minorHAnsi" w:hAnsiTheme="minorHAnsi"/>
        <w:b/>
        <w:i/>
        <w:smallCaps/>
        <w:sz w:val="18"/>
        <w:szCs w:val="18"/>
      </w:rPr>
      <w:t xml:space="preserve"> Vilar de Mouros</w:t>
    </w:r>
  </w:p>
  <w:p w:rsidR="00E16224" w:rsidRPr="00486460" w:rsidRDefault="00AC7711" w:rsidP="0008653D">
    <w:pPr>
      <w:spacing w:before="120"/>
      <w:jc w:val="center"/>
      <w:outlineLvl w:val="0"/>
    </w:pPr>
    <w:r>
      <w:rPr>
        <w:rFonts w:asciiTheme="minorHAnsi" w:hAnsiTheme="minorHAnsi"/>
        <w:b/>
        <w:i/>
        <w:smallCap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8653D"/>
    <w:rsid w:val="000A12C3"/>
    <w:rsid w:val="000C4117"/>
    <w:rsid w:val="000C7DD2"/>
    <w:rsid w:val="00115261"/>
    <w:rsid w:val="001F04F0"/>
    <w:rsid w:val="001F75BC"/>
    <w:rsid w:val="002001C8"/>
    <w:rsid w:val="00216578"/>
    <w:rsid w:val="0022636A"/>
    <w:rsid w:val="00272C8C"/>
    <w:rsid w:val="003048B6"/>
    <w:rsid w:val="00317570"/>
    <w:rsid w:val="003329DD"/>
    <w:rsid w:val="0036716D"/>
    <w:rsid w:val="00376FAB"/>
    <w:rsid w:val="003812A7"/>
    <w:rsid w:val="003C2029"/>
    <w:rsid w:val="003D354E"/>
    <w:rsid w:val="003D7C80"/>
    <w:rsid w:val="00486460"/>
    <w:rsid w:val="004A5FF0"/>
    <w:rsid w:val="004B6858"/>
    <w:rsid w:val="004C35E0"/>
    <w:rsid w:val="004D775A"/>
    <w:rsid w:val="00507690"/>
    <w:rsid w:val="00531B42"/>
    <w:rsid w:val="00554955"/>
    <w:rsid w:val="005A464C"/>
    <w:rsid w:val="005C0116"/>
    <w:rsid w:val="00625048"/>
    <w:rsid w:val="0063358A"/>
    <w:rsid w:val="00635D5D"/>
    <w:rsid w:val="006415AB"/>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C0349"/>
    <w:rsid w:val="00AC7711"/>
    <w:rsid w:val="00B55340"/>
    <w:rsid w:val="00C10E56"/>
    <w:rsid w:val="00C27156"/>
    <w:rsid w:val="00D23A51"/>
    <w:rsid w:val="00D53D90"/>
    <w:rsid w:val="00D732CA"/>
    <w:rsid w:val="00DA57B3"/>
    <w:rsid w:val="00DE66E2"/>
    <w:rsid w:val="00DF1936"/>
    <w:rsid w:val="00E16224"/>
    <w:rsid w:val="00E5145F"/>
    <w:rsid w:val="00E7244A"/>
    <w:rsid w:val="00F137B4"/>
    <w:rsid w:val="00F14CE8"/>
    <w:rsid w:val="00F240EC"/>
    <w:rsid w:val="00F4475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1225880"/>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171559">
      <w:bodyDiv w:val="1"/>
      <w:marLeft w:val="0"/>
      <w:marRight w:val="0"/>
      <w:marTop w:val="0"/>
      <w:marBottom w:val="0"/>
      <w:divBdr>
        <w:top w:val="none" w:sz="0" w:space="0" w:color="auto"/>
        <w:left w:val="none" w:sz="0" w:space="0" w:color="auto"/>
        <w:bottom w:val="none" w:sz="0" w:space="0" w:color="auto"/>
        <w:right w:val="none" w:sz="0" w:space="0" w:color="auto"/>
      </w:divBdr>
    </w:div>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34</Pages>
  <Words>13767</Words>
  <Characters>74345</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14</cp:revision>
  <cp:lastPrinted>2017-04-11T14:34:00Z</cp:lastPrinted>
  <dcterms:created xsi:type="dcterms:W3CDTF">2018-03-16T15:47:00Z</dcterms:created>
  <dcterms:modified xsi:type="dcterms:W3CDTF">2019-04-09T09:36:00Z</dcterms:modified>
</cp:coreProperties>
</file>